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r w:rsidDel="00000000" w:rsidR="00000000" w:rsidRPr="00000000">
        <w:rPr>
          <w:rFonts w:ascii="Helvetica Neue" w:cs="Helvetica Neue" w:eastAsia="Helvetica Neue" w:hAnsi="Helvetica Neue"/>
          <w:sz w:val="20"/>
          <w:szCs w:val="20"/>
        </w:rPr>
        <w:drawing>
          <wp:inline distB="114300" distT="114300" distL="114300" distR="114300">
            <wp:extent cx="985838" cy="985838"/>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85838" cy="98583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b w:val="1"/>
          <w:sz w:val="26"/>
          <w:szCs w:val="26"/>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26"/>
          <w:szCs w:val="26"/>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b w:val="1"/>
          <w:sz w:val="26"/>
          <w:szCs w:val="26"/>
        </w:rPr>
      </w:pPr>
      <w:r w:rsidDel="00000000" w:rsidR="00000000" w:rsidRPr="00000000">
        <w:rPr>
          <w:rFonts w:ascii="Helvetica Neue" w:cs="Helvetica Neue" w:eastAsia="Helvetica Neue" w:hAnsi="Helvetica Neue"/>
          <w:b w:val="1"/>
          <w:sz w:val="26"/>
          <w:szCs w:val="26"/>
          <w:rtl w:val="0"/>
        </w:rPr>
        <w:t xml:space="preserve">4.Stock - Souliger Indie Pop aus Berlin</w:t>
      </w:r>
    </w:p>
    <w:p w:rsidR="00000000" w:rsidDel="00000000" w:rsidP="00000000" w:rsidRDefault="00000000" w:rsidRPr="00000000" w14:paraId="00000005">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4 Charaktere treffen sich. Jeder hat seine eig</w:t>
      </w:r>
      <w:r w:rsidDel="00000000" w:rsidR="00000000" w:rsidRPr="00000000">
        <w:rPr>
          <w:rFonts w:ascii="Helvetica Neue" w:cs="Helvetica Neue" w:eastAsia="Helvetica Neue" w:hAnsi="Helvetica Neue"/>
          <w:sz w:val="20"/>
          <w:szCs w:val="20"/>
          <w:rtl w:val="0"/>
        </w:rPr>
        <w:t xml:space="preserve">ene Idee vom Leben, hat seine eigene Idee von der Musik. Jeder hat seine Stärken und seine Schwächen. Das erzeugt die Spannung und Energie, aus der ihre Songs entstehen. Sie hö</w:t>
      </w:r>
      <w:r w:rsidDel="00000000" w:rsidR="00000000" w:rsidRPr="00000000">
        <w:rPr>
          <w:rFonts w:ascii="Helvetica Neue" w:cs="Helvetica Neue" w:eastAsia="Helvetica Neue" w:hAnsi="Helvetica Neue"/>
          <w:sz w:val="20"/>
          <w:szCs w:val="20"/>
          <w:rtl w:val="0"/>
        </w:rPr>
        <w:t xml:space="preserve">ren sich zu, widersprechen sich, lachen und weinen zusammen. Und so ergänzen sie sich zu dem, was am Ende klingt wie 4.Stock: Runde, emotionale, reichhaltige, Songs zum Mitwippen, Mitsingen und Zuhören.</w:t>
      </w:r>
    </w:p>
    <w:p w:rsidR="00000000" w:rsidDel="00000000" w:rsidP="00000000" w:rsidRDefault="00000000" w:rsidRPr="00000000" w14:paraId="0000000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A">
      <w:pPr>
        <w:ind w:left="-360" w:firstLine="0"/>
        <w:jc w:val="center"/>
        <w:rPr/>
      </w:pPr>
      <w:r w:rsidDel="00000000" w:rsidR="00000000" w:rsidRPr="00000000">
        <w:rPr/>
        <w:drawing>
          <wp:inline distB="114300" distT="114300" distL="114300" distR="114300">
            <wp:extent cx="6538913" cy="4359275"/>
            <wp:effectExtent b="0" l="0" r="0" t="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6538913" cy="4359275"/>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ind w:left="-360" w:firstLine="0"/>
        <w:jc w:val="center"/>
        <w:rPr/>
      </w:pPr>
      <w:r w:rsidDel="00000000" w:rsidR="00000000" w:rsidRPr="00000000">
        <w:rPr>
          <w:rtl w:val="0"/>
        </w:rPr>
        <w:t xml:space="preserve">     Andrea Buccio, Bass | Lüder LIndau, Gitarre | Tobias Kaufhold, Gesang | Sascha Martini, Drums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